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19"/>
        <w:gridCol w:w="13"/>
        <w:gridCol w:w="1469"/>
        <w:gridCol w:w="451"/>
        <w:gridCol w:w="291"/>
        <w:gridCol w:w="6"/>
        <w:gridCol w:w="1341"/>
        <w:gridCol w:w="1"/>
        <w:gridCol w:w="286"/>
        <w:gridCol w:w="341"/>
        <w:gridCol w:w="1536"/>
        <w:gridCol w:w="57"/>
        <w:gridCol w:w="4"/>
        <w:gridCol w:w="566"/>
        <w:gridCol w:w="356"/>
        <w:gridCol w:w="421"/>
        <w:gridCol w:w="730"/>
        <w:gridCol w:w="742"/>
      </w:tblGrid>
      <w:tr>
        <w:trPr>
          <w:trHeight w:val="288" w:hRule="atLeast"/>
        </w:trPr>
        <w:tc>
          <w:tcPr>
            <w:tcW w:w="9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4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0112.193/2025-UACO</w:t>
            </w:r>
          </w:p>
        </w:tc>
        <w:tc>
          <w:tcPr>
            <w:tcW w:w="222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D114/26-DU-UACO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Asistente de Docencia</w:t>
            </w:r>
          </w:p>
        </w:tc>
        <w:tc>
          <w:tcPr>
            <w:tcW w:w="14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Parcial</w:t>
            </w:r>
          </w:p>
        </w:tc>
      </w:tr>
      <w:tr>
        <w:trPr>
          <w:trHeight w:val="272" w:hRule="atLeast"/>
        </w:trPr>
        <w:tc>
          <w:tcPr>
            <w:tcW w:w="9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Ciencias Sociales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Educación 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IEC</w:t>
            </w:r>
          </w:p>
        </w:tc>
      </w:tr>
      <w:tr>
        <w:trPr>
          <w:trHeight w:val="248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Historia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Archivística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06-45-01-00-01</w:t>
            </w:r>
          </w:p>
        </w:tc>
      </w:tr>
      <w:tr>
        <w:trPr>
          <w:trHeight w:val="247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(2420) Historia General de la Educación e (2427) Historia de la Educación Argentina y Latinoamericana</w:t>
            </w:r>
          </w:p>
        </w:tc>
      </w:tr>
      <w:tr>
        <w:trPr>
          <w:trHeight w:val="272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139</Words>
  <Characters>913</Characters>
  <CharactersWithSpaces>1031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2026-03-05T16:01:00Z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