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7"/>
        <w:gridCol w:w="1470"/>
        <w:gridCol w:w="162"/>
        <w:gridCol w:w="578"/>
        <w:gridCol w:w="8"/>
        <w:gridCol w:w="1340"/>
        <w:gridCol w:w="286"/>
        <w:gridCol w:w="342"/>
        <w:gridCol w:w="1534"/>
        <w:gridCol w:w="60"/>
        <w:gridCol w:w="566"/>
        <w:gridCol w:w="359"/>
        <w:gridCol w:w="424"/>
        <w:gridCol w:w="725"/>
        <w:gridCol w:w="748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0112.480/2025-UACO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010</w:t>
            </w:r>
            <w:r>
              <w:rPr>
                <w:rFonts w:eastAsia="Arial" w:cs="Arial" w:ascii="Arial" w:hAnsi="Arial"/>
                <w:sz w:val="20"/>
                <w:szCs w:val="20"/>
              </w:rPr>
              <w:t>-2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sz w:val="20"/>
                <w:szCs w:val="20"/>
              </w:rPr>
              <w:t>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Asociado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y Prevención de Riesgos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Energía No Convencional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Energía Eólica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02-19-99-01-02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(2692) Energía Eólica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next w:val="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next w:val="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next w:val="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next w:val="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135</Words>
  <Characters>883</Characters>
  <CharactersWithSpaces>996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2026-02-03T13:40:08Z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