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0111.376/2025-UACO</w:t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D244-25-DU-UACO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Ayudante de Docencia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Simple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Estudio de la Lengua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Lingüística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06-47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-00-02-01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 y Producción del Discurso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-720086</wp:posOffset>
          </wp:positionV>
          <wp:extent cx="779780" cy="1140460"/>
          <wp:effectExtent b="0" l="0" r="0" t="0"/>
          <wp:wrapSquare wrapText="bothSides" distB="0" distT="0" distL="0" distR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kZfNYGuo/OT9SxQAn5xne6gFw==">CgMxLjA4AHIhMWM4cmQ2MjFGc2pVLXBadWlGRWU0X1FILWdCUGdlNEVM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