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0111.077/2025-UACO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D207-25-DU-UACO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sistente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18"/>
                <w:szCs w:val="18"/>
                <w:rtl w:val="0"/>
              </w:rPr>
              <w:t xml:space="preserve"> de Docencia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Ciencias Sociales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Educación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Didáctica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Didáctica Especial y Práctica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05-43-02-02-02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(1958) Práctica II- (1965) Didáctica de las Ciencias Naturales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-720089</wp:posOffset>
          </wp:positionV>
          <wp:extent cx="779780" cy="1140460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jc w:val="left"/>
    </w:pPr>
    <w:rPr>
      <w:rFonts w:ascii="Liberation Serif" w:cs="Lohit Devanagari" w:eastAsia="Noto Sans CJK SC" w:hAnsi="Liberation Serif"/>
      <w:color w:val="auto"/>
      <w:kern w:val="2"/>
      <w:sz w:val="24"/>
      <w:szCs w:val="24"/>
      <w:lang w:bidi="hi-IN" w:eastAsia="zh-CN" w:val="es-AR"/>
    </w:rPr>
  </w:style>
  <w:style w:type="paragraph" w:styleId="Ttulo1">
    <w:name w:val="Heading 1"/>
    <w:basedOn w:val="Ttulo"/>
    <w:qFormat w:val="1"/>
    <w:pPr>
      <w:numPr>
        <w:ilvl w:val="0"/>
        <w:numId w:val="1"/>
      </w:numPr>
      <w:spacing w:after="120" w:before="240"/>
      <w:outlineLvl w:val="0"/>
    </w:pPr>
    <w:rPr>
      <w:b w:val="1"/>
      <w:bCs w:val="1"/>
      <w:sz w:val="36"/>
      <w:szCs w:val="36"/>
    </w:rPr>
  </w:style>
  <w:style w:type="paragraph" w:styleId="Ttulo2">
    <w:name w:val="Heading 2"/>
    <w:basedOn w:val="Ttulo"/>
    <w:qFormat w:val="1"/>
    <w:pPr/>
    <w:rPr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i9JEMNev+DUtksOS+XG2+5r3BA==">CgMxLjA4AHIhMXRGMWpXWVd6YUc5aU40bkRISUlrbEhla2dJUGYxdF9F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