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7"/>
        <w:gridCol w:w="5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5"/>
        <w:gridCol w:w="359"/>
        <w:gridCol w:w="426"/>
        <w:gridCol w:w="723"/>
        <w:gridCol w:w="750"/>
      </w:tblGrid>
      <w:tr>
        <w:trPr>
          <w:trHeight w:val="288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621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Medios Masivos de 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 Audiovisual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</w:t>
            </w:r>
            <w:r>
              <w:rPr>
                <w:rFonts w:eastAsia="Arial" w:cs="Arial" w:ascii="Arial" w:hAnsi="Arial"/>
                <w:sz w:val="18"/>
                <w:lang w:val="en-US"/>
              </w:rPr>
              <w:t>6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3</w:t>
            </w:r>
            <w:r>
              <w:rPr>
                <w:rFonts w:eastAsia="Arial" w:cs="Arial" w:ascii="Arial" w:hAnsi="Arial"/>
                <w:sz w:val="18"/>
                <w:lang w:val="en-US"/>
              </w:rPr>
              <w:t>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Estructura del Relato Audiovisual 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8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133</Words>
  <Characters>885</Characters>
  <CharactersWithSpaces>996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2023-08-25T12:41:48Z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