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6"/>
        <w:gridCol w:w="1471"/>
        <w:gridCol w:w="161"/>
        <w:gridCol w:w="577"/>
        <w:gridCol w:w="8"/>
        <w:gridCol w:w="1341"/>
        <w:gridCol w:w="286"/>
        <w:gridCol w:w="341"/>
        <w:gridCol w:w="1535"/>
        <w:gridCol w:w="60"/>
        <w:gridCol w:w="565"/>
        <w:gridCol w:w="359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313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2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0112.557/2025-UACO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D171/26-DU-UACO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78" w:before="120" w:after="0"/>
              <w:ind w:left="0" w:right="0" w:hanging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78" w:before="120" w:after="0"/>
              <w:ind w:left="0" w:right="0" w:hanging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Sociología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Sociología general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05-50-00-01-01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Sociología I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Ttulo2">
    <w:name w:val="Heading 2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nD61laqevuT9D4lQrVG3PxXtdnQ==">CgMxLjA4AHIhMUVUbmUwWExsZmViLXN3QWtCeE5vakRoazJwQ2hMLW1Z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127</Words>
  <Characters>841</Characters>
  <CharactersWithSpaces>946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2026-03-18T15:09:06Z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