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270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0112.595/2025-UACO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D650-25-DU-UACO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Medios Masivos de Comunicación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 Audiovisual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05-46-01-03-02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Estructura del Relato Audiovisual III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G17RWqlV6Qp/0yY42jqzaLypQ==">CgMxLjA4AHIhMXRRTU9vNXl2YmRJbkE5alJlYWNmUksxUWx6WXdsajhD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